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8A" w:rsidRPr="00E51A8A" w:rsidRDefault="00E51A8A" w:rsidP="00E51A8A">
      <w:pPr>
        <w:shd w:val="clear" w:color="auto" w:fill="FFFFFF"/>
        <w:adjustRightInd/>
        <w:snapToGrid/>
        <w:spacing w:after="0" w:line="675" w:lineRule="atLeast"/>
        <w:jc w:val="center"/>
        <w:outlineLvl w:val="1"/>
        <w:rPr>
          <w:rFonts w:ascii="微软雅黑" w:hAnsi="微软雅黑" w:cs="宋体"/>
          <w:b/>
          <w:bCs/>
          <w:color w:val="333333"/>
          <w:sz w:val="36"/>
          <w:szCs w:val="36"/>
        </w:rPr>
      </w:pPr>
      <w:r w:rsidRPr="00E51A8A">
        <w:rPr>
          <w:rFonts w:ascii="微软雅黑" w:hAnsi="微软雅黑" w:cs="宋体" w:hint="eastAsia"/>
          <w:b/>
          <w:bCs/>
          <w:color w:val="333333"/>
          <w:sz w:val="36"/>
          <w:szCs w:val="36"/>
        </w:rPr>
        <w:t>中华人民共和国财政部令第81号</w:t>
      </w:r>
      <w:r w:rsidRPr="00E51A8A">
        <w:rPr>
          <w:rFonts w:ascii="微软雅黑" w:hAnsi="微软雅黑" w:cs="宋体" w:hint="eastAsia"/>
          <w:b/>
          <w:bCs/>
          <w:color w:val="333333"/>
          <w:sz w:val="36"/>
          <w:szCs w:val="36"/>
        </w:rPr>
        <w:br/>
        <w:t>——基本建设财务规则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《基本建设财务规则》已经财政部部务会议审议通过，现予公布，自2016年9月1日起施行。</w:t>
      </w:r>
    </w:p>
    <w:p w:rsidR="00E51A8A" w:rsidRPr="00E51A8A" w:rsidRDefault="00E51A8A" w:rsidP="00E51A8A">
      <w:pPr>
        <w:shd w:val="clear" w:color="auto" w:fill="FFFFFF"/>
        <w:wordWrap w:val="0"/>
        <w:adjustRightInd/>
        <w:snapToGrid/>
        <w:spacing w:after="0" w:line="420" w:lineRule="atLeast"/>
        <w:jc w:val="righ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部长 楼继伟</w:t>
      </w:r>
    </w:p>
    <w:p w:rsidR="00E51A8A" w:rsidRPr="00E51A8A" w:rsidRDefault="00E51A8A" w:rsidP="00E51A8A">
      <w:pPr>
        <w:shd w:val="clear" w:color="auto" w:fill="FFFFFF"/>
        <w:wordWrap w:val="0"/>
        <w:adjustRightInd/>
        <w:snapToGrid/>
        <w:spacing w:after="0" w:line="420" w:lineRule="atLeast"/>
        <w:jc w:val="righ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2016年4月26日</w:t>
      </w:r>
    </w:p>
    <w:p w:rsidR="00E51A8A" w:rsidRPr="00E51A8A" w:rsidRDefault="00E51A8A" w:rsidP="00E51A8A">
      <w:pPr>
        <w:shd w:val="clear" w:color="auto" w:fill="FFFFFF"/>
        <w:wordWrap w:val="0"/>
        <w:adjustRightInd/>
        <w:snapToGrid/>
        <w:spacing w:after="150" w:line="420" w:lineRule="atLeast"/>
        <w:jc w:val="center"/>
        <w:rPr>
          <w:rFonts w:ascii="微软雅黑" w:hAnsi="微软雅黑" w:cs="宋体" w:hint="eastAsia"/>
          <w:color w:val="333333"/>
          <w:sz w:val="21"/>
          <w:szCs w:val="21"/>
        </w:rPr>
      </w:pPr>
      <w:r w:rsidRPr="00E51A8A">
        <w:rPr>
          <w:rFonts w:ascii="微软雅黑" w:hAnsi="微软雅黑" w:cs="宋体" w:hint="eastAsia"/>
          <w:b/>
          <w:bCs/>
          <w:color w:val="333333"/>
          <w:sz w:val="21"/>
        </w:rPr>
        <w:t>基本建设财务规则</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b/>
          <w:bCs/>
          <w:color w:val="333333"/>
          <w:sz w:val="21"/>
        </w:rPr>
        <w:t>第一章  总则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第一条　为了规范基本建设财务行为，加强基本建设财务管理，提高财政资金使用效益，保障财政资金安全，制定本规则。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第二条　本规则适用于行政事业单位的基本建设财务行为，以及国有和国有控股企业使用财政资金的基本建设财务行为。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基本建设是指以新增工程效益或者扩大生产能力为主要目的的新建、续建、改扩建、迁建、大型维修改造工程及相关工作。</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第三条　基本建设财务管理应当严格执行国家有关法律、行政法规和财务规章制度，坚持勤俭节约、量力而行、讲求实效，正确处理资金使用效益与资金供给的关系。</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第四条　基本建设财务管理的主要任务是：</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（一）依法筹集和使用基本建设项目（以下简称项目）建设资金，防范财务风险；</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（二）合理编制项目资金预算，加强预算审核，严格预算执行；</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（三）加强项目核算管理，规范和控制建设成本；</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（四）及时准确编制项目竣工财务决算，全面反映基本建设财务状况；</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（五）加强对基本建设活动的财务控制和监督，实施绩效评价。</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第五条　财政部负责制定并指导实施基本建设财务管理制度。</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各级财政部门负责对基本建设财务活动实施全过程管理和监督。</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第六条 各级项目主管部门（含一级预算单位，下同）应当会同财政部门，加强本部门或者本行业基本建设财务管理和监督，指导和督促项目建设单位做好基本建设财务管理的基础工作。</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第七条 项目建设单位应当做好以下基本建设财务管理的基础工作：</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（一）建立、健全本单位基本建设财务管理制度和内部控制制度；</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（二）按项目单独核算，按照规定将核算情况纳入单位账簿和财务报表；</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lastRenderedPageBreak/>
        <w:t xml:space="preserve">　　（三）按照规定编制项目资金预算，根据批准的项目概(预)算做好核算管理，及时掌握建设进度，定期进行财产物资清查，做好核算资料档案管理；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（四）按照规定向财政部门、项目主管部门报送基本建设财务报表和资料；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（五）及时办理工程价款结算，编报项目竣工财务决算，办理资产交付使用手续；</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（六）财政部门和项目主管部门要求的其他工作。</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按照规定实行代理记账和项目代建制的，代理记账单位和代建单位应当配合项目建设单位做好项目财务管理的基础工作。</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第二章  建设资金筹集与使用管理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第八条 建设资金是指为满足项目建设需要筹集和使用的资金,按照来源分为财政资金和自筹资金。其中，财政资金包括一般公共预算安排的基本建设投资资金和其他专项建设资金，政府性基金预算安排的建设资金，政府依法举债取得的建设资金，以及国有资本经营预算安排的基本建设项目资金。</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第九条 财政资金管理应当遵循专款专用原则，严格按照批准的项目预算执行，不得挤占挪用。</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财政部门应当会同项目主管部门加强项目财政资金的监督管理。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第十条 财政资金的支付，按照国库集中支付制度有关规定和合同约定，综合考虑项目财政资金预算、建设进度等因素执行。</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第十一条 项目建设单位应当根据批准的项目概（预）算、年度投资计划和预算、建设进度等控制项目投资规模。</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第十二条 项目建设单位在决策阶段应当明确建设资金来源，落实建设资金，合理控制筹资成本。非经营性项目建设资金按照国家有关规定筹集；经营性项目在防范风险的前提下，可以多渠道筹集。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具体项目的经营性和非经营性性质划分，由项目主管部门会同财政部门根据项目建设目的、运营模式和盈利能力等因素核定。</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第十三条　核定为经营性项目的，项目建设单位应当按照国家有关固定资产投资项目资本管理的规定，筹集一定比例的非债务性资金作为项目资本。</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在项目建设期间，项目资本的投资者除依法转让、依法终止外，不得以任何方式抽走出资。</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经营性项目的投资者以实物、知识产权、土地使用权等非货币财产作价出资的，应当委托具有专业能力的资产评估机构依法评估作价。</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第十四条 项目建设单位取得的财政资金，区分以下情况处理：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经营性项目具备企业法人资格的，按照国家有关企业财务规定处理。不具备企业法人资格的，属于国家直接投资的，作为项目国家资本管理；属于投资补助的，国家拨款时对</w:t>
      </w:r>
      <w:r w:rsidRPr="00E51A8A">
        <w:rPr>
          <w:rFonts w:ascii="微软雅黑" w:hAnsi="微软雅黑" w:cs="宋体" w:hint="eastAsia"/>
          <w:color w:val="333333"/>
          <w:sz w:val="21"/>
          <w:szCs w:val="21"/>
        </w:rPr>
        <w:lastRenderedPageBreak/>
        <w:t>权属有规定的，按照规定执行，没有规定的，由项目投资者享有；属于有偿性资助的，作为项目负债管理。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经营性项目取得的财政贴息，项目建设期间收到的，冲减项目建设成本；项目竣工后收到的，按照国家财务、会计制度的有关规定处理。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非经营性项目取得的财政资金，按照国家行政、事业单位财务、会计制度的有关规定处理。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第十五条 项目收到的社会捐赠，有捐赠协议或者捐赠者有指定要求的，按照协议或者要求处理；无协议和要求的，按照国家财务、会计制度的有关规定处理。</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b/>
          <w:bCs/>
          <w:color w:val="333333"/>
          <w:sz w:val="21"/>
        </w:rPr>
        <w:t> 第三章  预算管理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第十六条 项目建设单位编制项目预算应当以批准的概算为基础, 按照项目实际建设资金需求编制，并控制在批准的概算总投资规模、范围和标准以内。</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项目建设单位应当细化项目预算,分解项目各年度预算和财政资金预算需求。涉及政府采购的，应当按照规定编制政府采购预算。</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项目资金预算应当纳入项目主管部门的部门预算或者国有资本经营预算统一管理。列入部门预算的项目，一般应当从项目库中产生。</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第十七条 项目建设单位应当根据项目概算、建设工期、年度投资和自筹资金计划、以前年度项目各类资金结转情况等，提出项目财政资金预算建议数，按照规定程序经项目主管部门审核汇总报财政部门。</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项目建设单位根据财政部门下达的预算控制数编制预算，由项目主管部门审核汇总报财政部门，经法定程序审核批复后执行。</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第十八条 项目建设单位应当严格执行项目财政资金预算。对发生停建、缓建、迁移、合并、分立、重大设计变更等变动事项和其他特殊情况确需调整的项目，项目建设单位应当按照规定程序报项目主管部门审核后，向财政部门申请调整项目财政资金预算。</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第十九条 财政部门应当加强财政资金预算审核和执行管理，严格预算约束。</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财政资金预算安排应当以项目以前年度财政资金预算执行情况、项目预算评审意见和绩效评价结果作为重要依据。项目财政资金未按预算要求执行的，按照有关规定调减或者收回。</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第二十条 项目主管部门应当按照预算管理规定,督促和指导项目建设单位做好项目财政资金预算编制、执行和调整，严格审核项目财政资金预算、细化预算和预算调整的申请，及时掌握项目预算执行动态，跟踪分析项目进度，按照要求向财政部门报送执行情况。</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第四章  建设成本管理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第二十一条　建设成本是指按照批准的建设内容由项目建设资金安排的各项支出，包括建筑安装工程投资支出、设备投资支出、待摊投资支出和其他投资支出。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lastRenderedPageBreak/>
        <w:t xml:space="preserve">　　建筑安装工程投资支出是指项目建设单位按照批准的建设内容发生的建筑工程和安装工程的实际成本。</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设备投资支出是指项目建设单位按照批准的建设内容发生的各种设备的实际成本。</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待摊投资支出是指项目建设单位按照批准的建设内容发生的，应当分摊计入相关资产价值的各项费用和税金支出。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其他投资支出是指项目建设单位按照批准的建设内容发生的房屋购置支出，基本畜禽、林木等的购置、饲养、培育支出，办公生活用家具、器具购置支出，软件研发和不能计入设备投资的软件购置等支出。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第二十二条　项目建设单位应当严格控制建设成本的范围、标准和支出责任，以下支出不得列入项目建设成本：</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（一）超过批准建设内容发生的支出；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（二）不符合合同协议的支出；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（三）非法收费和摊派；</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（四）无发票或者发票项目不全、无审批手续、无责任人员签字的支出；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（五）因设计单位、施工单位、供货单位等原因造成的工程报废等损失，以及未按照规定报经批准的损失；</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（六）项目符合规定的验收条件之日起3个月后发生的支出；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（七）其他不属于本项目应当负担的支出。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第二十三条 财政资金用于项目前期工作经费部分，在项目批准建设后，列入项目建设成本。</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没有被批准或者批准后又被取消的项目，财政资金如有结余，全部缴回国库。</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第五章  基建收入管理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第二十四条　基建收入是指在基本建设过程中形成的各项工程建设副产品变价收入、负荷试车和试运行收入以及其他收入。</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工程建设副产品变价收入包括矿山建设中的矿产品收入，油气、油田钻井建设中的原油气收入，林业工程建设中的路影材收入，以及其他项目建设过程中产生或者伴生的副产品、试验产品的变价收入。</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负荷试车和试运行收入包括水利、电力建设移交生产前的供水、供电、供热收入，原材料、机电轻纺、农林建设移交生产前的产品收入，交通临时运营收入等。</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其他收入包括项目总体建设尚未完成或者移交生产，但其中部分工程简易投产而发生的经营性收入等。</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符合验收条件而未按照规定及时办理竣工验收的经营性项目所实现的收入，不得作为项目基建收入管理。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lastRenderedPageBreak/>
        <w:t xml:space="preserve">　　第二十五条　项目所取得的基建收入扣除相关费用并依法纳税后，其净收入按照国家财务、会计制度的有关规定处理。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第二十六条　项目发生的各项索赔、违约金等收入，首先用于弥补工程损失，结余部分按照国家财务、会计制度的有关规定处理。</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第六章  工程价款结算管理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第二十七条 工程价款结算是指依据基本建设工程发承包合同等进行工程预付款、进度款、竣工价款结算的活动。 </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第二十八条 项目建设单位应当严格按照合同约定和工程价款结算程序支付工程款。竣工价款结算一般应当在项目竣工验收后2个月内完成，大型项目一般不得超过3个月。</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第二十九条　项目建设单位可以与施工单位在合同中约定按照不超过工程价款结算总额的5%预留工程质量保证金，待工程交付使用缺陷责任期满后清算。资信好的施工单位可以用银行保函替代工程质量保证金。</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第三十条 项目主管部门应当会同财政部门加强工程价款结算的监督，重点审查工程招投标文件、工程量及各项费用的计取、合同协议、施工变更签证、人工和材料价差、工程索赔等。</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 xml:space="preserve">　第七章  竣工财务决算管理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第三十一条 项目竣工财务决算是正确核定项目资产价值、反映竣工项目建设成果的文件，是办理资产移交和产权登记的依据，包括竣工财务决算报表、竣工财务决算说明书以及相关材料。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项目竣工财务决算应当数字准确、内容完整。竣工财务决算的编制要求另行规定。</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第三十二条　项目年度资金使用情况应当按照要求编入部门决算或者国有资本经营决算。</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第三十三条　项目建设单位在项目竣工后，应当及时编制项目竣工财务决算，并按照规定报送项目主管部门。</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项目设计、施工、监理等单位应当配合项目建设单位做好相关工作。</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建设周期长、建设内容多的大型项目，单项工程竣工具备交付使用条件的，可以编报单项工程竣工财务决算，项目全部竣工后应当编报竣工财务总决算。</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第三十四条　在编制项目竣工财务决算前，项目建设单位应当认真做好各项清理工作，包括账目核对及账务调整、财产物资核实处理、债权实现和债务清偿、档案资料归集整理等。</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第三十五条 在编制项目竣工财务决算时，项目建设单位应当按照规定将待摊投资支出按合理比例分摊计入交付使用资产价值、转出投资价值和待核销基建支出。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第三十六条　项目竣工财务决算审核、批复管理职责和程序要求由同级财政部门确定。</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lastRenderedPageBreak/>
        <w:t xml:space="preserve">　　第三十七条 财政部门和项目主管部门对项目竣工财务决算实行先审核、后批复的办法，可以委托预算评审机构或者有专业能力的社会中介机构进行审核。对符合条件的，应当在6个月内批复。</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第三十八条 项目一般不得预留尾工工程，确需预留尾工工程的，尾工工程投资不得超过批准的项目概（预）算总投资的5%。</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项目主管部门应当督促项目建设单位抓紧实施项目尾工工程，加强对尾工工程资金使用的监督管理。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第三十九条 已具备竣工验收条件的项目，应当及时组织验收，移交生产和使用。</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第四十条　项目隶属关系发生变化时，应当按照规定及时办理财务关系划转，主要包括各项资金来源、已交付使用资产、在建工程、结余资金、各项债权及债务等的清理交接。</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第八章  资产交付管理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第四十一条 资产交付是指项目竣工验收合格后，将形成的资产交付或者转交生产使用单位的行为。</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交付使用的资产包括固定资产、流动资产、无形资产等。</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第四十二条 项目竣工验收合格后应当及时办理资产交付使用手续，并依据批复的项目竣工财务决算进行账务调整。</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第四十三条　非经营性项目发生的江河清障疏浚、航道整治、飞播造林、退耕还林(草)、封山(沙)育林(草)、水土保持、城市绿化、毁损道路修复、护坡及清理等不能形成资产的支出，以及项目未被批准、项目取消和项目报废前已发生的支出，作为待核销基建支出处理；形成资产产权归属本单位的，计入交付使用资产价值；形成资产产权不归属本单位的，作为转出投资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非经营性项目发生的农村沼气工程、农村安全饮水工程、农村危房改造工程、游牧民定居工程、渔民上岸工程等涉及家庭或者个人的支出，形成资产产权归属家庭或者个人的，作为待核销基建支出处理；形成资产产权归属本单位的，计入交付使用资产价值；形成资产产权归属其他单位的，作为转出投资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第四十四条 非经营性项目为项目配套建设的专用设施，包括专用道路、专用通讯设施、专用电力设施、地下管道等，产权归属本单位的，计入交付使用资产价值；产权不归属本单位的，作为转出投资处理。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非经营性项目移民安置补偿中由项目建设单位负责建设并形成的实物资产，产权归属集体或者单位的，作为转出投资处理；产权归属移民的，作为待核销基建支出处理。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第四十五条 经营性项目发生的项目取消和报废等不能形成资产的支出，以及设备采购和系统集成（软件）中包含的交付使用后运行维护等费用，按照国家财务、会计制度的有关规定处理。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lastRenderedPageBreak/>
        <w:t xml:space="preserve">　　第四十六条 经营性项目为项目配套建设的专用设施，包括专用铁路线、专用道路、专用通讯设施、专用电力设施、地下管道、专用码头等，项目建设单位应当与有关部门明确产权关系，并按照国家财务、会计制度的有关规定处理。</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第九章  结余资金管理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第四十七条 结余资金是指项目竣工结余的建设资金，不包括工程抵扣的增值税进项税额资金。</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第四十八条 经营性项目结余资金，转入单位的相关资产。</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非经营性项目结余资金，首先用于归还项目贷款。如有结余，按照项目资金来源属于财政资金的部分，应当在项目竣工验收合格后3个月内，按照预算管理制度有关规定收回财政。</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第四十九条 项目终止、报废或者未按照批准的建设内容建设形成的剩余建设资金中，按照项目实际资金来源比例确认的财政资金应当收回财政。</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b/>
          <w:bCs/>
          <w:color w:val="333333"/>
          <w:sz w:val="21"/>
        </w:rPr>
        <w:t>第十章  绩效评价</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第五十条　项目绩效评价是指财政部门、项目主管部门根据设定的项目绩效目标，运用科学合理的评价方法和评价标准，对项目建设全过程中资金筹集、使用及核算的规范性、有效性，以及投入运营效果等进行评价的活动。</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第五十一条 项目绩效评价应当坚持科学规范、公正公开、分级分类和绩效相关的原则，坚持经济效益、社会效益和生态效益相结合的原则。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第五十二条 项目绩效评价应当重点对项目建设成本、工程造价、投资控制、达产能力与设计能力差异、偿债能力、持续经营能力等实施绩效评价，根据管理需要和项目特点选用社会效益指标、财务效益指标、工程质量指标、建设工期指标、资金来源指标、资金使用指标、实际投资回收期指标、实际单位生产（营运）能力投资指标等评价指标。</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第五十三条 财政部门负责制定项目绩效评价管理办法，对项目绩效评价工作进行指导和监督，选择部分项目开展重点绩效评价，依法公开绩效评价结果。绩效评价结果作为项目财政资金预算安排和资金拨付的重要依据。</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第五十四条 项目主管部门会同财政部门按照有关规定，制定本部门或者本行业项目绩效评价具体实施办法，建立具体的绩效评价指标体系，确定项目绩效目标，具体组织实施本部门或者本行业绩效评价工作，并向财政部门报送绩效评价结果。</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第十一章  监督管理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第五十五条 项目监督管理主要包括对项目资金筹集与使用、预算编制与执行、建设成本控制、工程价款结算、竣工财务决算编报审核、资产交付等的监督管理。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第五十六条 项目建设单位应当建立、健全内部控制和项目财务信息报告制度，依法接受财政部门和项目主管部门等的财务监督管理。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lastRenderedPageBreak/>
        <w:t xml:space="preserve">　　第五十七条 财政部门和项目主管部门应当加强项目的监督管理，采取事前、事中、事后相结合，日常监督与专项监督相结合的方式，对项目财务行为实施全过程监督管理。</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第五十八条 财政部门应当加强对基本建设财政资金形成的资产的管理，按照规定对项目资产开展登记、核算、评估、处置、统计、报告等资产管理基础工作。</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第五十九条 对于违反本规则的基本建设财务行为，依照《预算法》、《财政违法行为处罚处分条例》等有关规定追究责任。</w:t>
      </w:r>
    </w:p>
    <w:p w:rsidR="00E51A8A" w:rsidRPr="00E51A8A" w:rsidRDefault="00E51A8A" w:rsidP="00E51A8A">
      <w:pPr>
        <w:shd w:val="clear" w:color="auto" w:fill="FFFFFF"/>
        <w:wordWrap w:val="0"/>
        <w:adjustRightInd/>
        <w:snapToGrid/>
        <w:spacing w:after="0" w:line="420" w:lineRule="atLeast"/>
        <w:jc w:val="center"/>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w:t>
      </w:r>
      <w:r w:rsidRPr="00E51A8A">
        <w:rPr>
          <w:rFonts w:ascii="微软雅黑" w:hAnsi="微软雅黑" w:cs="宋体" w:hint="eastAsia"/>
          <w:b/>
          <w:bCs/>
          <w:color w:val="333333"/>
          <w:sz w:val="21"/>
        </w:rPr>
        <w:t>第十二章  附则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第六十条 接受国家经常性资助的社会力量举办的公益服务性组织和社会团体的基本建设财务行为，以及非国有企业使用财政资金的基本建设财务行为，参照本规则执行。</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使用外国政府及国际金融组织贷款的基本建设财务行为执行本规则。国家另有规定的，从其规定。</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第六十一条 项目建设内容仅为设备购置的，不执行本规则；项目建设内容以设备购置、房屋及其他建筑物购置为主并附有部分建筑安装工程的，可以简化执行本规则。</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经营性项目的项目资本中，财政资金所占比例未超过50%的，项目建设单位可以简化执行本规则，但应当按照要求向财政部门、项目主管部门报送相关财务资料。国家另有规定的，从其规定。</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第六十二条　中央项目主管部门和各省、自治区、直辖市、计划单列市财政厅(局)可以根据本规则，结合本行业、本地区的项目情况，制定具体实施办法并报财政部备案。</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第六十三条　本规则自2016年9月1日起施行。2002年9月27日财政部发布的《基本建设财务管理规定》（财建〔2002〕394号）及其解释同时废止。</w:t>
      </w:r>
    </w:p>
    <w:p w:rsidR="00E51A8A" w:rsidRPr="00E51A8A" w:rsidRDefault="00E51A8A" w:rsidP="00E51A8A">
      <w:pPr>
        <w:shd w:val="clear" w:color="auto" w:fill="FFFFFF"/>
        <w:wordWrap w:val="0"/>
        <w:adjustRightInd/>
        <w:snapToGrid/>
        <w:spacing w:after="0" w:line="420" w:lineRule="atLeast"/>
        <w:rPr>
          <w:rFonts w:ascii="微软雅黑" w:hAnsi="微软雅黑" w:cs="宋体" w:hint="eastAsia"/>
          <w:color w:val="333333"/>
          <w:sz w:val="21"/>
          <w:szCs w:val="21"/>
        </w:rPr>
      </w:pPr>
      <w:r w:rsidRPr="00E51A8A">
        <w:rPr>
          <w:rFonts w:ascii="微软雅黑" w:hAnsi="微软雅黑" w:cs="宋体" w:hint="eastAsia"/>
          <w:color w:val="333333"/>
          <w:sz w:val="21"/>
          <w:szCs w:val="21"/>
        </w:rPr>
        <w:t xml:space="preserve">　　本规则施行前财政部制定的有关规定与本规则不一致的，按照本规则执行。《企业财务通则》（财政部令第41号）、《金融企业财务规则》（财政部令第42号）、《事业单位财务规则》（财政部令第68号）和《行政单位财务规则》（财政部令第71号）另有规定的，从其规定。</w:t>
      </w:r>
    </w:p>
    <w:p w:rsidR="00E51A8A" w:rsidRPr="00E51A8A" w:rsidRDefault="00E51A8A" w:rsidP="00E51A8A">
      <w:pPr>
        <w:shd w:val="clear" w:color="auto" w:fill="FFFFFF"/>
        <w:adjustRightInd/>
        <w:snapToGrid/>
        <w:spacing w:after="0"/>
        <w:rPr>
          <w:rFonts w:ascii="微软雅黑" w:hAnsi="微软雅黑" w:cs="宋体" w:hint="eastAsia"/>
          <w:color w:val="333333"/>
          <w:sz w:val="21"/>
          <w:szCs w:val="21"/>
        </w:rPr>
      </w:pPr>
      <w:r w:rsidRPr="00E51A8A">
        <w:rPr>
          <w:rFonts w:ascii="微软雅黑" w:hAnsi="微软雅黑" w:cs="宋体" w:hint="eastAsia"/>
          <w:color w:val="333333"/>
          <w:sz w:val="21"/>
          <w:szCs w:val="21"/>
        </w:rPr>
        <w:t>发布日期:  2016年05月06日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9C30DA"/>
    <w:rsid w:val="00D31D50"/>
    <w:rsid w:val="00E51A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E51A8A"/>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51A8A"/>
    <w:rPr>
      <w:rFonts w:ascii="宋体" w:eastAsia="宋体" w:hAnsi="宋体" w:cs="宋体"/>
      <w:b/>
      <w:bCs/>
      <w:sz w:val="36"/>
      <w:szCs w:val="36"/>
    </w:rPr>
  </w:style>
  <w:style w:type="paragraph" w:styleId="a3">
    <w:name w:val="Normal (Web)"/>
    <w:basedOn w:val="a"/>
    <w:uiPriority w:val="99"/>
    <w:semiHidden/>
    <w:unhideWhenUsed/>
    <w:rsid w:val="00E51A8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E51A8A"/>
    <w:rPr>
      <w:b/>
      <w:bCs/>
    </w:rPr>
  </w:style>
</w:styles>
</file>

<file path=word/webSettings.xml><?xml version="1.0" encoding="utf-8"?>
<w:webSettings xmlns:r="http://schemas.openxmlformats.org/officeDocument/2006/relationships" xmlns:w="http://schemas.openxmlformats.org/wordprocessingml/2006/main">
  <w:divs>
    <w:div w:id="1888839260">
      <w:bodyDiv w:val="1"/>
      <w:marLeft w:val="0"/>
      <w:marRight w:val="0"/>
      <w:marTop w:val="0"/>
      <w:marBottom w:val="0"/>
      <w:divBdr>
        <w:top w:val="none" w:sz="0" w:space="0" w:color="auto"/>
        <w:left w:val="none" w:sz="0" w:space="0" w:color="auto"/>
        <w:bottom w:val="none" w:sz="0" w:space="0" w:color="auto"/>
        <w:right w:val="none" w:sz="0" w:space="0" w:color="auto"/>
      </w:divBdr>
      <w:divsChild>
        <w:div w:id="1828470526">
          <w:marLeft w:val="0"/>
          <w:marRight w:val="0"/>
          <w:marTop w:val="0"/>
          <w:marBottom w:val="0"/>
          <w:divBdr>
            <w:top w:val="none" w:sz="0" w:space="0" w:color="auto"/>
            <w:left w:val="none" w:sz="0" w:space="0" w:color="auto"/>
            <w:bottom w:val="none" w:sz="0" w:space="0" w:color="auto"/>
            <w:right w:val="none" w:sz="0" w:space="0" w:color="auto"/>
          </w:divBdr>
          <w:divsChild>
            <w:div w:id="2005351921">
              <w:marLeft w:val="0"/>
              <w:marRight w:val="0"/>
              <w:marTop w:val="0"/>
              <w:marBottom w:val="0"/>
              <w:divBdr>
                <w:top w:val="none" w:sz="0" w:space="0" w:color="auto"/>
                <w:left w:val="none" w:sz="0" w:space="0" w:color="auto"/>
                <w:bottom w:val="none" w:sz="0" w:space="0" w:color="auto"/>
                <w:right w:val="none" w:sz="0" w:space="0" w:color="auto"/>
              </w:divBdr>
              <w:divsChild>
                <w:div w:id="218857471">
                  <w:marLeft w:val="0"/>
                  <w:marRight w:val="0"/>
                  <w:marTop w:val="0"/>
                  <w:marBottom w:val="0"/>
                  <w:divBdr>
                    <w:top w:val="none" w:sz="0" w:space="0" w:color="auto"/>
                    <w:left w:val="none" w:sz="0" w:space="0" w:color="auto"/>
                    <w:bottom w:val="none" w:sz="0" w:space="0" w:color="auto"/>
                    <w:right w:val="none" w:sz="0" w:space="0" w:color="auto"/>
                  </w:divBdr>
                  <w:divsChild>
                    <w:div w:id="2045132051">
                      <w:marLeft w:val="0"/>
                      <w:marRight w:val="0"/>
                      <w:marTop w:val="0"/>
                      <w:marBottom w:val="0"/>
                      <w:divBdr>
                        <w:top w:val="none" w:sz="0" w:space="0" w:color="auto"/>
                        <w:left w:val="none" w:sz="0" w:space="0" w:color="auto"/>
                        <w:bottom w:val="none" w:sz="0" w:space="0" w:color="auto"/>
                        <w:right w:val="none" w:sz="0" w:space="0" w:color="auto"/>
                      </w:divBdr>
                      <w:divsChild>
                        <w:div w:id="128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286">
          <w:marLeft w:val="0"/>
          <w:marRight w:val="0"/>
          <w:marTop w:val="0"/>
          <w:marBottom w:val="0"/>
          <w:divBdr>
            <w:top w:val="none" w:sz="0" w:space="0" w:color="auto"/>
            <w:left w:val="none" w:sz="0" w:space="0" w:color="auto"/>
            <w:bottom w:val="none" w:sz="0" w:space="0" w:color="auto"/>
            <w:right w:val="none" w:sz="0" w:space="0" w:color="auto"/>
          </w:divBdr>
          <w:divsChild>
            <w:div w:id="779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2022-10-02T10:14:00Z</dcterms:modified>
</cp:coreProperties>
</file>